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949D" w14:textId="77777777" w:rsidR="006C51C3" w:rsidRDefault="00C4329B">
      <w:pPr>
        <w:pStyle w:val="BodyText"/>
        <w:ind w:left="121"/>
        <w:rPr>
          <w:rFonts w:ascii="Times New Roman"/>
          <w:sz w:val="20"/>
        </w:rPr>
      </w:pPr>
      <w:r>
        <w:rPr>
          <w:rFonts w:ascii="Times New Roman"/>
          <w:noProof/>
          <w:sz w:val="20"/>
        </w:rPr>
        <w:drawing>
          <wp:inline distT="0" distB="0" distL="0" distR="0" wp14:anchorId="4B909338" wp14:editId="046CA244">
            <wp:extent cx="1690484" cy="1124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90484" cy="1124711"/>
                    </a:xfrm>
                    <a:prstGeom prst="rect">
                      <a:avLst/>
                    </a:prstGeom>
                  </pic:spPr>
                </pic:pic>
              </a:graphicData>
            </a:graphic>
          </wp:inline>
        </w:drawing>
      </w:r>
    </w:p>
    <w:p w14:paraId="06C50C60" w14:textId="77777777" w:rsidR="006C51C3" w:rsidRDefault="006C51C3">
      <w:pPr>
        <w:pStyle w:val="BodyText"/>
        <w:rPr>
          <w:rFonts w:ascii="Times New Roman"/>
          <w:sz w:val="20"/>
        </w:rPr>
      </w:pPr>
    </w:p>
    <w:p w14:paraId="50788156" w14:textId="77777777" w:rsidR="006C51C3" w:rsidRDefault="006C51C3">
      <w:pPr>
        <w:pStyle w:val="BodyText"/>
        <w:rPr>
          <w:rFonts w:ascii="Times New Roman"/>
          <w:sz w:val="20"/>
        </w:rPr>
      </w:pPr>
    </w:p>
    <w:p w14:paraId="3A069E81" w14:textId="77777777" w:rsidR="006C51C3" w:rsidRDefault="006C51C3">
      <w:pPr>
        <w:pStyle w:val="BodyText"/>
        <w:spacing w:before="9"/>
        <w:rPr>
          <w:rFonts w:ascii="Times New Roman"/>
          <w:sz w:val="19"/>
        </w:rPr>
      </w:pPr>
    </w:p>
    <w:p w14:paraId="7C88C72E" w14:textId="77777777" w:rsidR="006C51C3" w:rsidRDefault="00C4329B">
      <w:pPr>
        <w:pStyle w:val="BodyText"/>
        <w:spacing w:before="182"/>
        <w:ind w:left="100"/>
      </w:pPr>
      <w:r>
        <w:t>Cyber insurance has been purchased on behalf of the Law Society’s members who are in active private</w:t>
      </w:r>
    </w:p>
    <w:p w14:paraId="264E1803" w14:textId="77777777" w:rsidR="006C51C3" w:rsidRDefault="00C4329B">
      <w:pPr>
        <w:pStyle w:val="BodyText"/>
        <w:spacing w:before="22"/>
        <w:ind w:left="100"/>
      </w:pPr>
      <w:r>
        <w:t>practice.</w:t>
      </w:r>
    </w:p>
    <w:p w14:paraId="1CFBFEF0" w14:textId="77777777" w:rsidR="006C51C3" w:rsidRDefault="00C4329B">
      <w:pPr>
        <w:pStyle w:val="BodyText"/>
        <w:spacing w:before="181"/>
        <w:ind w:left="100"/>
      </w:pPr>
      <w:r>
        <w:t>Coverage has changed over the previous coverage. Please note the new</w:t>
      </w:r>
      <w:r>
        <w:t xml:space="preserve"> coverages and limits.</w:t>
      </w:r>
    </w:p>
    <w:p w14:paraId="0A6FFA7C" w14:textId="77777777" w:rsidR="006C51C3" w:rsidRDefault="00C4329B">
      <w:pPr>
        <w:pStyle w:val="Heading1"/>
        <w:spacing w:before="182"/>
      </w:pPr>
      <w:r>
        <w:t>Limits:</w:t>
      </w:r>
    </w:p>
    <w:p w14:paraId="04E90A7E" w14:textId="77777777" w:rsidR="006C51C3" w:rsidRDefault="00C4329B">
      <w:pPr>
        <w:pStyle w:val="BodyText"/>
        <w:spacing w:before="181"/>
        <w:ind w:left="100"/>
      </w:pPr>
      <w:r>
        <w:t>Per claim limits, by insuring agreement:</w:t>
      </w:r>
    </w:p>
    <w:p w14:paraId="7B443406" w14:textId="77777777" w:rsidR="006C51C3" w:rsidRDefault="00C4329B">
      <w:pPr>
        <w:pStyle w:val="BodyText"/>
        <w:tabs>
          <w:tab w:val="left" w:pos="6466"/>
        </w:tabs>
        <w:spacing w:before="180"/>
        <w:ind w:left="460"/>
      </w:pPr>
      <w:r>
        <w:t>1.)   Security and</w:t>
      </w:r>
      <w:r>
        <w:rPr>
          <w:spacing w:val="-34"/>
        </w:rPr>
        <w:t xml:space="preserve"> </w:t>
      </w:r>
      <w:r>
        <w:t>Privacy</w:t>
      </w:r>
      <w:r>
        <w:rPr>
          <w:spacing w:val="2"/>
        </w:rPr>
        <w:t xml:space="preserve"> </w:t>
      </w:r>
      <w:r>
        <w:t>Liability</w:t>
      </w:r>
      <w:r>
        <w:tab/>
        <w:t>$250,000</w:t>
      </w:r>
    </w:p>
    <w:p w14:paraId="028CC97D" w14:textId="77777777" w:rsidR="006C51C3" w:rsidRDefault="00C4329B">
      <w:pPr>
        <w:spacing w:before="183"/>
        <w:ind w:left="820"/>
        <w:rPr>
          <w:sz w:val="20"/>
        </w:rPr>
      </w:pPr>
      <w:r>
        <w:rPr>
          <w:sz w:val="20"/>
        </w:rPr>
        <w:t>SECURITY LIABILITY</w:t>
      </w:r>
    </w:p>
    <w:p w14:paraId="6E1A64E6" w14:textId="77777777" w:rsidR="006C51C3" w:rsidRDefault="006C51C3">
      <w:pPr>
        <w:pStyle w:val="BodyText"/>
        <w:spacing w:before="9"/>
        <w:rPr>
          <w:sz w:val="14"/>
        </w:rPr>
      </w:pPr>
    </w:p>
    <w:p w14:paraId="059DB702" w14:textId="77777777" w:rsidR="006C51C3" w:rsidRDefault="00C4329B">
      <w:pPr>
        <w:ind w:left="820"/>
        <w:rPr>
          <w:sz w:val="20"/>
        </w:rPr>
      </w:pPr>
      <w:r>
        <w:rPr>
          <w:sz w:val="20"/>
        </w:rPr>
        <w:t>Covers damages and claims expenses associated with lawsuits alleging the unauthorized access to,</w:t>
      </w:r>
    </w:p>
    <w:p w14:paraId="0E827E0E" w14:textId="77777777" w:rsidR="006C51C3" w:rsidRDefault="00C4329B">
      <w:pPr>
        <w:spacing w:before="20"/>
        <w:ind w:left="820"/>
        <w:rPr>
          <w:sz w:val="20"/>
        </w:rPr>
      </w:pPr>
      <w:r>
        <w:rPr>
          <w:sz w:val="20"/>
        </w:rPr>
        <w:t>degradation of, or disruption to the insured’s network, failure to prevent transmission of malicious code</w:t>
      </w:r>
    </w:p>
    <w:p w14:paraId="3F2A86A6" w14:textId="77777777" w:rsidR="006C51C3" w:rsidRDefault="00C4329B">
      <w:pPr>
        <w:spacing w:before="18"/>
        <w:ind w:left="820"/>
        <w:rPr>
          <w:sz w:val="20"/>
        </w:rPr>
      </w:pPr>
      <w:r>
        <w:rPr>
          <w:sz w:val="20"/>
        </w:rPr>
        <w:t xml:space="preserve">or </w:t>
      </w:r>
      <w:proofErr w:type="gramStart"/>
      <w:r>
        <w:rPr>
          <w:sz w:val="20"/>
        </w:rPr>
        <w:t>viruses, and</w:t>
      </w:r>
      <w:proofErr w:type="gramEnd"/>
      <w:r>
        <w:rPr>
          <w:sz w:val="20"/>
        </w:rPr>
        <w:t xml:space="preserve"> use of the insured’s network to perfo</w:t>
      </w:r>
      <w:r>
        <w:rPr>
          <w:sz w:val="20"/>
        </w:rPr>
        <w:t>rm a denial of service attack (DDOS).</w:t>
      </w:r>
    </w:p>
    <w:p w14:paraId="5D7C648C" w14:textId="77777777" w:rsidR="006C51C3" w:rsidRDefault="00C4329B">
      <w:pPr>
        <w:spacing w:before="178"/>
        <w:ind w:left="820"/>
        <w:rPr>
          <w:sz w:val="20"/>
        </w:rPr>
      </w:pPr>
      <w:r>
        <w:rPr>
          <w:sz w:val="20"/>
        </w:rPr>
        <w:t>PRIVACY LIABILITY</w:t>
      </w:r>
    </w:p>
    <w:p w14:paraId="082A2B53" w14:textId="77777777" w:rsidR="006C51C3" w:rsidRDefault="006C51C3">
      <w:pPr>
        <w:pStyle w:val="BodyText"/>
        <w:rPr>
          <w:sz w:val="15"/>
        </w:rPr>
      </w:pPr>
    </w:p>
    <w:p w14:paraId="54CCC82C" w14:textId="77777777" w:rsidR="006C51C3" w:rsidRDefault="00C4329B">
      <w:pPr>
        <w:spacing w:line="254" w:lineRule="auto"/>
        <w:ind w:left="820"/>
        <w:rPr>
          <w:sz w:val="20"/>
        </w:rPr>
      </w:pPr>
      <w:r>
        <w:rPr>
          <w:sz w:val="20"/>
        </w:rPr>
        <w:t>Covers damages and claims expenses associated with lawsuits alleging the unauthorized collection, disclosure, use, access, destruction, or modification of personal protected Information.</w:t>
      </w:r>
    </w:p>
    <w:p w14:paraId="4F282297" w14:textId="77777777" w:rsidR="006C51C3" w:rsidRDefault="00C4329B">
      <w:pPr>
        <w:pStyle w:val="BodyText"/>
        <w:tabs>
          <w:tab w:val="left" w:pos="6466"/>
        </w:tabs>
        <w:spacing w:before="167"/>
        <w:ind w:left="460"/>
      </w:pPr>
      <w:r>
        <w:t>2.)   Data R</w:t>
      </w:r>
      <w:r>
        <w:t>ecovery and Loss of</w:t>
      </w:r>
      <w:r>
        <w:rPr>
          <w:spacing w:val="-35"/>
        </w:rPr>
        <w:t xml:space="preserve"> </w:t>
      </w:r>
      <w:r>
        <w:t>Business</w:t>
      </w:r>
      <w:r>
        <w:rPr>
          <w:spacing w:val="1"/>
        </w:rPr>
        <w:t xml:space="preserve"> </w:t>
      </w:r>
      <w:r>
        <w:t>Income</w:t>
      </w:r>
      <w:r>
        <w:tab/>
        <w:t>$100,000</w:t>
      </w:r>
    </w:p>
    <w:p w14:paraId="51C3D631" w14:textId="77777777" w:rsidR="006C51C3" w:rsidRDefault="00C4329B">
      <w:pPr>
        <w:spacing w:before="180"/>
        <w:ind w:left="820"/>
        <w:rPr>
          <w:sz w:val="20"/>
        </w:rPr>
      </w:pPr>
      <w:r>
        <w:rPr>
          <w:sz w:val="20"/>
        </w:rPr>
        <w:t>DATA RECOVERY</w:t>
      </w:r>
    </w:p>
    <w:p w14:paraId="60FCFFBF" w14:textId="77777777" w:rsidR="006C51C3" w:rsidRDefault="006C51C3">
      <w:pPr>
        <w:pStyle w:val="BodyText"/>
        <w:spacing w:before="10"/>
        <w:rPr>
          <w:sz w:val="14"/>
        </w:rPr>
      </w:pPr>
    </w:p>
    <w:p w14:paraId="64EC3C71" w14:textId="77777777" w:rsidR="006C51C3" w:rsidRDefault="00C4329B">
      <w:pPr>
        <w:spacing w:line="415" w:lineRule="auto"/>
        <w:ind w:left="820" w:right="1054"/>
        <w:rPr>
          <w:sz w:val="20"/>
        </w:rPr>
      </w:pPr>
      <w:r>
        <w:rPr>
          <w:sz w:val="20"/>
        </w:rPr>
        <w:t>Covers cost to restore the network and data to the point it was at before the event occurred. LOSS OF BUSINESS INCOME</w:t>
      </w:r>
    </w:p>
    <w:p w14:paraId="55D7B722" w14:textId="77777777" w:rsidR="006C51C3" w:rsidRDefault="00C4329B">
      <w:pPr>
        <w:spacing w:before="5"/>
        <w:ind w:left="820"/>
        <w:rPr>
          <w:sz w:val="20"/>
        </w:rPr>
      </w:pPr>
      <w:r>
        <w:rPr>
          <w:sz w:val="20"/>
        </w:rPr>
        <w:t>Covers</w:t>
      </w:r>
      <w:r>
        <w:rPr>
          <w:spacing w:val="-1"/>
          <w:sz w:val="20"/>
        </w:rPr>
        <w:t xml:space="preserve"> </w:t>
      </w:r>
      <w:r>
        <w:rPr>
          <w:sz w:val="20"/>
        </w:rPr>
        <w:t>loss</w:t>
      </w:r>
      <w:r>
        <w:rPr>
          <w:spacing w:val="-2"/>
          <w:sz w:val="20"/>
        </w:rPr>
        <w:t xml:space="preserve"> </w:t>
      </w:r>
      <w:r>
        <w:rPr>
          <w:sz w:val="20"/>
        </w:rPr>
        <w:t>of</w:t>
      </w:r>
      <w:r>
        <w:rPr>
          <w:spacing w:val="-3"/>
          <w:sz w:val="20"/>
        </w:rPr>
        <w:t xml:space="preserve"> </w:t>
      </w:r>
      <w:r>
        <w:rPr>
          <w:sz w:val="20"/>
        </w:rPr>
        <w:t>income</w:t>
      </w:r>
      <w:r>
        <w:rPr>
          <w:spacing w:val="-4"/>
          <w:sz w:val="20"/>
        </w:rPr>
        <w:t xml:space="preserve"> </w:t>
      </w:r>
      <w:proofErr w:type="gramStart"/>
      <w:r>
        <w:rPr>
          <w:sz w:val="20"/>
        </w:rPr>
        <w:t>as</w:t>
      </w:r>
      <w:r>
        <w:rPr>
          <w:spacing w:val="-1"/>
          <w:sz w:val="20"/>
        </w:rPr>
        <w:t xml:space="preserve"> </w:t>
      </w:r>
      <w:r>
        <w:rPr>
          <w:sz w:val="20"/>
        </w:rPr>
        <w:t>a</w:t>
      </w:r>
      <w:r>
        <w:rPr>
          <w:spacing w:val="-2"/>
          <w:sz w:val="20"/>
        </w:rPr>
        <w:t xml:space="preserve"> </w:t>
      </w:r>
      <w:r>
        <w:rPr>
          <w:sz w:val="20"/>
        </w:rPr>
        <w:t>result</w:t>
      </w:r>
      <w:r>
        <w:rPr>
          <w:spacing w:val="-1"/>
          <w:sz w:val="20"/>
        </w:rPr>
        <w:t xml:space="preserve"> </w:t>
      </w:r>
      <w:r>
        <w:rPr>
          <w:sz w:val="20"/>
        </w:rPr>
        <w:t>of</w:t>
      </w:r>
      <w:proofErr w:type="gramEnd"/>
      <w:r>
        <w:rPr>
          <w:spacing w:val="-4"/>
          <w:sz w:val="20"/>
        </w:rPr>
        <w:t xml:space="preserve"> </w:t>
      </w:r>
      <w:r>
        <w:rPr>
          <w:sz w:val="20"/>
        </w:rPr>
        <w:t>a</w:t>
      </w:r>
      <w:r>
        <w:rPr>
          <w:spacing w:val="-1"/>
          <w:sz w:val="20"/>
        </w:rPr>
        <w:t xml:space="preserve"> </w:t>
      </w:r>
      <w:r>
        <w:rPr>
          <w:sz w:val="20"/>
        </w:rPr>
        <w:t>breach</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insured’s</w:t>
      </w:r>
      <w:r>
        <w:rPr>
          <w:spacing w:val="-2"/>
          <w:sz w:val="20"/>
        </w:rPr>
        <w:t xml:space="preserve"> </w:t>
      </w:r>
      <w:r>
        <w:rPr>
          <w:sz w:val="20"/>
        </w:rPr>
        <w:t>computer</w:t>
      </w:r>
      <w:r>
        <w:rPr>
          <w:spacing w:val="-2"/>
          <w:sz w:val="20"/>
        </w:rPr>
        <w:t xml:space="preserve"> </w:t>
      </w:r>
      <w:r>
        <w:rPr>
          <w:sz w:val="20"/>
        </w:rPr>
        <w:t>systems.</w:t>
      </w:r>
      <w:r>
        <w:rPr>
          <w:spacing w:val="-2"/>
          <w:sz w:val="20"/>
        </w:rPr>
        <w:t xml:space="preserve"> </w:t>
      </w:r>
      <w:r>
        <w:rPr>
          <w:sz w:val="20"/>
        </w:rPr>
        <w:t>This</w:t>
      </w:r>
      <w:r>
        <w:rPr>
          <w:spacing w:val="-1"/>
          <w:sz w:val="20"/>
        </w:rPr>
        <w:t xml:space="preserve"> </w:t>
      </w:r>
      <w:r>
        <w:rPr>
          <w:sz w:val="20"/>
        </w:rPr>
        <w:t>loss</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can</w:t>
      </w:r>
    </w:p>
    <w:p w14:paraId="4F996566" w14:textId="77777777" w:rsidR="006C51C3" w:rsidRDefault="00C4329B">
      <w:pPr>
        <w:spacing w:before="15"/>
        <w:ind w:left="820"/>
        <w:rPr>
          <w:sz w:val="20"/>
        </w:rPr>
      </w:pPr>
      <w:r>
        <w:rPr>
          <w:sz w:val="20"/>
        </w:rPr>
        <w:t>be</w:t>
      </w:r>
      <w:r>
        <w:rPr>
          <w:spacing w:val="-4"/>
          <w:sz w:val="20"/>
        </w:rPr>
        <w:t xml:space="preserve"> </w:t>
      </w:r>
      <w:r>
        <w:rPr>
          <w:sz w:val="20"/>
        </w:rPr>
        <w:t>caused</w:t>
      </w:r>
      <w:r>
        <w:rPr>
          <w:spacing w:val="-2"/>
          <w:sz w:val="20"/>
        </w:rPr>
        <w:t xml:space="preserve"> </w:t>
      </w:r>
      <w:r>
        <w:rPr>
          <w:sz w:val="20"/>
        </w:rPr>
        <w:t>by</w:t>
      </w:r>
      <w:r>
        <w:rPr>
          <w:spacing w:val="-2"/>
          <w:sz w:val="20"/>
        </w:rPr>
        <w:t xml:space="preserve"> </w:t>
      </w:r>
      <w:r>
        <w:rPr>
          <w:sz w:val="20"/>
        </w:rPr>
        <w:t>decreased</w:t>
      </w:r>
      <w:r>
        <w:rPr>
          <w:spacing w:val="-2"/>
          <w:sz w:val="20"/>
        </w:rPr>
        <w:t xml:space="preserve"> </w:t>
      </w:r>
      <w:r>
        <w:rPr>
          <w:sz w:val="20"/>
        </w:rPr>
        <w:t>productivity,</w:t>
      </w:r>
      <w:r>
        <w:rPr>
          <w:spacing w:val="-2"/>
          <w:sz w:val="20"/>
        </w:rPr>
        <w:t xml:space="preserve"> </w:t>
      </w:r>
      <w:r>
        <w:rPr>
          <w:sz w:val="20"/>
        </w:rPr>
        <w:t>inability</w:t>
      </w:r>
      <w:r>
        <w:rPr>
          <w:spacing w:val="-3"/>
          <w:sz w:val="20"/>
        </w:rPr>
        <w:t xml:space="preserve"> </w:t>
      </w:r>
      <w:r>
        <w:rPr>
          <w:sz w:val="20"/>
        </w:rPr>
        <w:t>to</w:t>
      </w:r>
      <w:r>
        <w:rPr>
          <w:spacing w:val="-2"/>
          <w:sz w:val="20"/>
        </w:rPr>
        <w:t xml:space="preserve"> </w:t>
      </w:r>
      <w:r>
        <w:rPr>
          <w:sz w:val="20"/>
        </w:rPr>
        <w:t>deliver</w:t>
      </w:r>
      <w:r>
        <w:rPr>
          <w:spacing w:val="-2"/>
          <w:sz w:val="20"/>
        </w:rPr>
        <w:t xml:space="preserve"> </w:t>
      </w:r>
      <w:r>
        <w:rPr>
          <w:sz w:val="20"/>
        </w:rPr>
        <w:t>products</w:t>
      </w:r>
      <w:r>
        <w:rPr>
          <w:spacing w:val="-1"/>
          <w:sz w:val="20"/>
        </w:rPr>
        <w:t xml:space="preserve"> </w:t>
      </w:r>
      <w:r>
        <w:rPr>
          <w:sz w:val="20"/>
        </w:rPr>
        <w:t>or</w:t>
      </w:r>
      <w:r>
        <w:rPr>
          <w:spacing w:val="-2"/>
          <w:sz w:val="20"/>
        </w:rPr>
        <w:t xml:space="preserve"> </w:t>
      </w:r>
      <w:r>
        <w:rPr>
          <w:sz w:val="20"/>
        </w:rPr>
        <w:t>services,</w:t>
      </w:r>
      <w:r>
        <w:rPr>
          <w:spacing w:val="-2"/>
          <w:sz w:val="20"/>
        </w:rPr>
        <w:t xml:space="preserve"> </w:t>
      </w:r>
      <w:r>
        <w:rPr>
          <w:sz w:val="20"/>
        </w:rPr>
        <w:t>or</w:t>
      </w:r>
      <w:r>
        <w:rPr>
          <w:spacing w:val="-2"/>
          <w:sz w:val="20"/>
        </w:rPr>
        <w:t xml:space="preserve"> </w:t>
      </w:r>
      <w:r>
        <w:rPr>
          <w:sz w:val="20"/>
        </w:rPr>
        <w:t>inability</w:t>
      </w:r>
      <w:r>
        <w:rPr>
          <w:spacing w:val="-4"/>
          <w:sz w:val="20"/>
        </w:rPr>
        <w:t xml:space="preserve"> </w:t>
      </w:r>
      <w:r>
        <w:rPr>
          <w:sz w:val="20"/>
        </w:rPr>
        <w:t>to</w:t>
      </w:r>
      <w:r>
        <w:rPr>
          <w:spacing w:val="-2"/>
          <w:sz w:val="20"/>
        </w:rPr>
        <w:t xml:space="preserve"> </w:t>
      </w:r>
      <w:r>
        <w:rPr>
          <w:sz w:val="20"/>
        </w:rPr>
        <w:t>access</w:t>
      </w:r>
      <w:r>
        <w:rPr>
          <w:spacing w:val="-2"/>
          <w:sz w:val="20"/>
        </w:rPr>
        <w:t xml:space="preserve"> </w:t>
      </w:r>
      <w:r>
        <w:rPr>
          <w:sz w:val="20"/>
        </w:rPr>
        <w:t>data.</w:t>
      </w:r>
    </w:p>
    <w:p w14:paraId="7B019699" w14:textId="77777777" w:rsidR="006C51C3" w:rsidRDefault="006C51C3">
      <w:pPr>
        <w:rPr>
          <w:sz w:val="20"/>
        </w:rPr>
      </w:pPr>
    </w:p>
    <w:p w14:paraId="3ADC70B8" w14:textId="77777777" w:rsidR="006C51C3" w:rsidRDefault="00C4329B">
      <w:pPr>
        <w:pStyle w:val="BodyText"/>
        <w:tabs>
          <w:tab w:val="left" w:pos="6466"/>
        </w:tabs>
        <w:spacing w:before="39"/>
        <w:ind w:left="460"/>
      </w:pPr>
      <w:r>
        <w:t>3.)   Event</w:t>
      </w:r>
      <w:r>
        <w:rPr>
          <w:spacing w:val="-30"/>
        </w:rPr>
        <w:t xml:space="preserve"> </w:t>
      </w:r>
      <w:r>
        <w:t>Management</w:t>
      </w:r>
      <w:r>
        <w:rPr>
          <w:spacing w:val="-1"/>
        </w:rPr>
        <w:t xml:space="preserve"> </w:t>
      </w:r>
      <w:r>
        <w:t>Expenses</w:t>
      </w:r>
      <w:r>
        <w:tab/>
        <w:t>$100,000</w:t>
      </w:r>
    </w:p>
    <w:p w14:paraId="35DD1078" w14:textId="77777777" w:rsidR="006C51C3" w:rsidRDefault="00C4329B">
      <w:pPr>
        <w:spacing w:before="181"/>
        <w:ind w:left="820"/>
        <w:rPr>
          <w:sz w:val="20"/>
        </w:rPr>
      </w:pPr>
      <w:r>
        <w:rPr>
          <w:sz w:val="20"/>
        </w:rPr>
        <w:t>BREACH COACH SERVICES</w:t>
      </w:r>
    </w:p>
    <w:p w14:paraId="7CCDAC53" w14:textId="77777777" w:rsidR="006C51C3" w:rsidRDefault="006C51C3">
      <w:pPr>
        <w:pStyle w:val="BodyText"/>
        <w:spacing w:before="11"/>
        <w:rPr>
          <w:sz w:val="14"/>
        </w:rPr>
      </w:pPr>
    </w:p>
    <w:p w14:paraId="7958D918" w14:textId="77777777" w:rsidR="006C51C3" w:rsidRDefault="00C4329B">
      <w:pPr>
        <w:spacing w:before="1" w:line="256" w:lineRule="auto"/>
        <w:ind w:left="820"/>
        <w:rPr>
          <w:sz w:val="20"/>
        </w:rPr>
      </w:pPr>
      <w:r>
        <w:rPr>
          <w:sz w:val="20"/>
        </w:rPr>
        <w:t xml:space="preserve">Covers the costs of a breach coach to provide advice in responding to and assisting you in responding to a security or privacy breach, including determining your legal obligations to provide notice of a security breach, privacy breach or breach of privacy </w:t>
      </w:r>
      <w:r>
        <w:rPr>
          <w:sz w:val="20"/>
        </w:rPr>
        <w:t>regulations.</w:t>
      </w:r>
    </w:p>
    <w:p w14:paraId="608D721E" w14:textId="77777777" w:rsidR="006C51C3" w:rsidRDefault="00C4329B">
      <w:pPr>
        <w:spacing w:before="164"/>
        <w:ind w:left="820"/>
        <w:rPr>
          <w:sz w:val="20"/>
        </w:rPr>
      </w:pPr>
      <w:r>
        <w:rPr>
          <w:sz w:val="20"/>
        </w:rPr>
        <w:t>NOTIFICATION COSTS</w:t>
      </w:r>
    </w:p>
    <w:p w14:paraId="2D5FC13E" w14:textId="77777777" w:rsidR="006C51C3" w:rsidRDefault="006C51C3">
      <w:pPr>
        <w:pStyle w:val="BodyText"/>
        <w:spacing w:before="10"/>
        <w:rPr>
          <w:sz w:val="14"/>
        </w:rPr>
      </w:pPr>
    </w:p>
    <w:p w14:paraId="4D8520EB" w14:textId="77777777" w:rsidR="006C51C3" w:rsidRDefault="00C4329B">
      <w:pPr>
        <w:spacing w:line="259" w:lineRule="auto"/>
        <w:ind w:left="820" w:right="186"/>
        <w:rPr>
          <w:sz w:val="20"/>
        </w:rPr>
      </w:pPr>
      <w:r>
        <w:rPr>
          <w:sz w:val="20"/>
        </w:rPr>
        <w:t>Covers costs associated with letting all those affected by the breach (including individuals, entities, and regulators) know that it has occurred, regardless of whether this notification is required by regulators or voluntary. This would include costs such</w:t>
      </w:r>
      <w:r>
        <w:rPr>
          <w:sz w:val="20"/>
        </w:rPr>
        <w:t xml:space="preserve"> as: mailing campaigns, credit monitoring, and call centres to handle questions.</w:t>
      </w:r>
    </w:p>
    <w:p w14:paraId="3DE37D91" w14:textId="77777777" w:rsidR="00D529A2" w:rsidRDefault="00D529A2">
      <w:pPr>
        <w:spacing w:before="158"/>
        <w:ind w:left="820"/>
        <w:rPr>
          <w:sz w:val="20"/>
        </w:rPr>
      </w:pPr>
    </w:p>
    <w:p w14:paraId="074CB675" w14:textId="7EA5E8DE" w:rsidR="006C51C3" w:rsidRDefault="00C4329B">
      <w:pPr>
        <w:spacing w:before="158"/>
        <w:ind w:left="820"/>
        <w:rPr>
          <w:sz w:val="20"/>
        </w:rPr>
      </w:pPr>
      <w:r>
        <w:rPr>
          <w:sz w:val="20"/>
        </w:rPr>
        <w:t>FORENSIC INVESTIGATIVE COSTS</w:t>
      </w:r>
    </w:p>
    <w:p w14:paraId="25006D3D" w14:textId="77777777" w:rsidR="006C51C3" w:rsidRDefault="006C51C3">
      <w:pPr>
        <w:pStyle w:val="BodyText"/>
        <w:spacing w:before="12"/>
        <w:rPr>
          <w:sz w:val="14"/>
        </w:rPr>
      </w:pPr>
    </w:p>
    <w:p w14:paraId="1C6B829F" w14:textId="77777777" w:rsidR="006C51C3" w:rsidRDefault="00C4329B">
      <w:pPr>
        <w:spacing w:line="254" w:lineRule="auto"/>
        <w:ind w:left="820" w:right="186"/>
        <w:rPr>
          <w:sz w:val="20"/>
        </w:rPr>
      </w:pPr>
      <w:r>
        <w:rPr>
          <w:sz w:val="20"/>
        </w:rPr>
        <w:t>Covers costs associated with hiring a professional third party to determine where, when, and how the breach occurred; also, to ensure that no fut</w:t>
      </w:r>
      <w:r>
        <w:rPr>
          <w:sz w:val="20"/>
        </w:rPr>
        <w:t xml:space="preserve">ure problems occur </w:t>
      </w:r>
      <w:proofErr w:type="gramStart"/>
      <w:r>
        <w:rPr>
          <w:sz w:val="20"/>
        </w:rPr>
        <w:t>as a result of</w:t>
      </w:r>
      <w:proofErr w:type="gramEnd"/>
      <w:r>
        <w:rPr>
          <w:sz w:val="20"/>
        </w:rPr>
        <w:t xml:space="preserve"> that particular system issue.</w:t>
      </w:r>
    </w:p>
    <w:p w14:paraId="637ECFD9" w14:textId="77777777" w:rsidR="006C51C3" w:rsidRDefault="00C4329B">
      <w:pPr>
        <w:spacing w:before="166"/>
        <w:ind w:left="820"/>
        <w:rPr>
          <w:sz w:val="20"/>
        </w:rPr>
      </w:pPr>
      <w:r>
        <w:rPr>
          <w:sz w:val="20"/>
        </w:rPr>
        <w:t>CRISIS MANAGEMENT COSTS</w:t>
      </w:r>
    </w:p>
    <w:p w14:paraId="12F8999E" w14:textId="77777777" w:rsidR="006C51C3" w:rsidRDefault="006C51C3">
      <w:pPr>
        <w:pStyle w:val="BodyText"/>
        <w:spacing w:before="10"/>
        <w:rPr>
          <w:sz w:val="14"/>
        </w:rPr>
      </w:pPr>
    </w:p>
    <w:p w14:paraId="6629F772" w14:textId="77777777" w:rsidR="006C51C3" w:rsidRDefault="00C4329B">
      <w:pPr>
        <w:spacing w:line="256" w:lineRule="auto"/>
        <w:ind w:left="820"/>
        <w:rPr>
          <w:sz w:val="20"/>
        </w:rPr>
      </w:pPr>
      <w:r>
        <w:rPr>
          <w:sz w:val="20"/>
        </w:rPr>
        <w:t>Covers costs incurred in hiring a professional public relations team to help prevent reputational harm to your business.</w:t>
      </w:r>
    </w:p>
    <w:p w14:paraId="7306C154" w14:textId="77777777" w:rsidR="006C51C3" w:rsidRDefault="00C4329B">
      <w:pPr>
        <w:pStyle w:val="BodyText"/>
        <w:tabs>
          <w:tab w:val="left" w:pos="6466"/>
        </w:tabs>
        <w:spacing w:before="162"/>
        <w:ind w:left="460"/>
      </w:pPr>
      <w:r>
        <w:t xml:space="preserve">4.) </w:t>
      </w:r>
      <w:r>
        <w:rPr>
          <w:spacing w:val="24"/>
        </w:rPr>
        <w:t xml:space="preserve"> </w:t>
      </w:r>
      <w:r>
        <w:t>Data</w:t>
      </w:r>
      <w:r>
        <w:rPr>
          <w:spacing w:val="-2"/>
        </w:rPr>
        <w:t xml:space="preserve"> </w:t>
      </w:r>
      <w:r>
        <w:t>Extorsion</w:t>
      </w:r>
      <w:r>
        <w:tab/>
        <w:t>$100,000</w:t>
      </w:r>
    </w:p>
    <w:p w14:paraId="6533A973" w14:textId="77777777" w:rsidR="006C51C3" w:rsidRDefault="00C4329B">
      <w:pPr>
        <w:spacing w:before="182"/>
        <w:ind w:left="820"/>
        <w:rPr>
          <w:sz w:val="20"/>
        </w:rPr>
      </w:pPr>
      <w:r>
        <w:rPr>
          <w:sz w:val="20"/>
        </w:rPr>
        <w:t>DATA EXTORTION</w:t>
      </w:r>
    </w:p>
    <w:p w14:paraId="09F89D63" w14:textId="77777777" w:rsidR="006C51C3" w:rsidRDefault="006C51C3">
      <w:pPr>
        <w:pStyle w:val="BodyText"/>
        <w:spacing w:before="10"/>
        <w:rPr>
          <w:sz w:val="14"/>
        </w:rPr>
      </w:pPr>
    </w:p>
    <w:p w14:paraId="21BA9511" w14:textId="77777777" w:rsidR="006C51C3" w:rsidRDefault="00C4329B">
      <w:pPr>
        <w:spacing w:line="256" w:lineRule="auto"/>
        <w:ind w:left="820" w:right="1054"/>
        <w:rPr>
          <w:sz w:val="20"/>
        </w:rPr>
      </w:pPr>
      <w:r>
        <w:rPr>
          <w:sz w:val="20"/>
        </w:rPr>
        <w:t>Covers ransom costs when there is a demand for compensation to stop a cyber-attack, such as ransomware.</w:t>
      </w:r>
    </w:p>
    <w:p w14:paraId="0DF56633" w14:textId="77777777" w:rsidR="006C51C3" w:rsidRDefault="00C4329B">
      <w:pPr>
        <w:pStyle w:val="BodyText"/>
        <w:tabs>
          <w:tab w:val="left" w:pos="6466"/>
        </w:tabs>
        <w:spacing w:before="164"/>
        <w:ind w:left="460"/>
      </w:pPr>
      <w:r>
        <w:t xml:space="preserve">5.) </w:t>
      </w:r>
      <w:r>
        <w:rPr>
          <w:spacing w:val="25"/>
        </w:rPr>
        <w:t xml:space="preserve"> </w:t>
      </w:r>
      <w:r>
        <w:t>Bricking</w:t>
      </w:r>
      <w:r>
        <w:tab/>
        <w:t>$100,000</w:t>
      </w:r>
    </w:p>
    <w:p w14:paraId="1A5E6EC6" w14:textId="77777777" w:rsidR="006C51C3" w:rsidRDefault="00C4329B">
      <w:pPr>
        <w:spacing w:before="181"/>
        <w:ind w:left="820"/>
        <w:rPr>
          <w:sz w:val="20"/>
        </w:rPr>
      </w:pPr>
      <w:r>
        <w:rPr>
          <w:sz w:val="20"/>
        </w:rPr>
        <w:t>BRICKING</w:t>
      </w:r>
    </w:p>
    <w:p w14:paraId="33CC56E8" w14:textId="77777777" w:rsidR="006C51C3" w:rsidRDefault="00C4329B">
      <w:pPr>
        <w:spacing w:before="178"/>
        <w:ind w:left="820"/>
        <w:rPr>
          <w:sz w:val="20"/>
        </w:rPr>
      </w:pPr>
      <w:r>
        <w:rPr>
          <w:sz w:val="20"/>
        </w:rPr>
        <w:t>Covers costs to replace computer &amp; network hardware rendered useless after a cyber related event.</w:t>
      </w:r>
    </w:p>
    <w:p w14:paraId="412EC5DE" w14:textId="77777777" w:rsidR="006C51C3" w:rsidRDefault="006C51C3">
      <w:pPr>
        <w:pStyle w:val="BodyText"/>
        <w:spacing w:before="10"/>
        <w:rPr>
          <w:sz w:val="14"/>
        </w:rPr>
      </w:pPr>
    </w:p>
    <w:p w14:paraId="3A69A958" w14:textId="77777777" w:rsidR="006C51C3" w:rsidRDefault="00C4329B">
      <w:pPr>
        <w:pStyle w:val="BodyText"/>
        <w:spacing w:line="259" w:lineRule="auto"/>
        <w:ind w:left="460" w:right="147"/>
        <w:jc w:val="both"/>
      </w:pPr>
      <w:r>
        <w:t>Note:</w:t>
      </w:r>
      <w:r>
        <w:t xml:space="preserve"> Coverage available under any insuring agreement shall be reduced by, and may be completely exhausted by, payments made under any other insuring agreement.</w:t>
      </w:r>
    </w:p>
    <w:p w14:paraId="02926AB1" w14:textId="77777777" w:rsidR="006C51C3" w:rsidRDefault="00C4329B">
      <w:pPr>
        <w:pStyle w:val="BodyText"/>
        <w:tabs>
          <w:tab w:val="left" w:pos="1000"/>
        </w:tabs>
        <w:spacing w:before="159"/>
        <w:ind w:left="460"/>
      </w:pPr>
      <w:r>
        <w:t>E.g.</w:t>
      </w:r>
      <w:r>
        <w:tab/>
        <w:t>If insuring agreements 1, 2, and 3 are triggered, the maximum amount the insurer will pay</w:t>
      </w:r>
      <w:r>
        <w:rPr>
          <w:spacing w:val="-22"/>
        </w:rPr>
        <w:t xml:space="preserve"> </w:t>
      </w:r>
      <w:r>
        <w:t>is</w:t>
      </w:r>
    </w:p>
    <w:p w14:paraId="4613B3FC" w14:textId="77777777" w:rsidR="006C51C3" w:rsidRDefault="00C4329B">
      <w:pPr>
        <w:pStyle w:val="BodyText"/>
        <w:spacing w:before="22" w:line="259" w:lineRule="auto"/>
        <w:ind w:left="1000" w:right="195"/>
      </w:pPr>
      <w:r>
        <w:t>$2</w:t>
      </w:r>
      <w:r>
        <w:t xml:space="preserve">50,000 (the limit available under agreement 1). However, if losses under agreements 2 and 3 are </w:t>
      </w:r>
      <w:proofErr w:type="gramStart"/>
      <w:r>
        <w:t>in excess of</w:t>
      </w:r>
      <w:proofErr w:type="gramEnd"/>
      <w:r>
        <w:t xml:space="preserve"> $100,000, they will be capped at $100,000 combined, and the remaining limit of $150,000 will be available for agreement 1, as it carries a higher l</w:t>
      </w:r>
      <w:r>
        <w:t>imit.</w:t>
      </w:r>
    </w:p>
    <w:p w14:paraId="7CECA06A" w14:textId="77777777" w:rsidR="006C51C3" w:rsidRDefault="00C4329B">
      <w:pPr>
        <w:pStyle w:val="BodyText"/>
        <w:spacing w:before="160" w:line="259" w:lineRule="auto"/>
        <w:ind w:left="460" w:right="111"/>
        <w:jc w:val="both"/>
      </w:pPr>
      <w:r>
        <w:t>All claims arising out of the same, related, or continuing acts, facts, or circumstances, without regard to the number of insureds, claims, or claimants shall be considered a single claim and only one Limit of Liability will apply.</w:t>
      </w:r>
    </w:p>
    <w:p w14:paraId="1CD2F97F" w14:textId="77777777" w:rsidR="006C51C3" w:rsidRDefault="00C4329B">
      <w:pPr>
        <w:pStyle w:val="BodyText"/>
        <w:spacing w:before="159"/>
        <w:ind w:left="100"/>
      </w:pPr>
      <w:r>
        <w:t>Aggregate annual l</w:t>
      </w:r>
      <w:r>
        <w:t>imit for all claims: $1,000,000</w:t>
      </w:r>
    </w:p>
    <w:p w14:paraId="64BA41B2" w14:textId="77777777" w:rsidR="006C51C3" w:rsidRDefault="00C4329B">
      <w:pPr>
        <w:pStyle w:val="Heading1"/>
        <w:spacing w:before="180"/>
      </w:pPr>
      <w:r>
        <w:t>Retention:</w:t>
      </w:r>
    </w:p>
    <w:p w14:paraId="1178CE2B" w14:textId="77777777" w:rsidR="006C51C3" w:rsidRDefault="00C4329B" w:rsidP="00D529A2">
      <w:pPr>
        <w:pStyle w:val="BodyText"/>
        <w:tabs>
          <w:tab w:val="left" w:pos="6996"/>
        </w:tabs>
        <w:spacing w:before="181"/>
        <w:ind w:left="460"/>
      </w:pPr>
      <w:r>
        <w:t>1.)   Security and</w:t>
      </w:r>
      <w:r>
        <w:rPr>
          <w:spacing w:val="-33"/>
        </w:rPr>
        <w:t xml:space="preserve"> </w:t>
      </w:r>
      <w:r>
        <w:t>Privacy</w:t>
      </w:r>
      <w:r>
        <w:rPr>
          <w:spacing w:val="-1"/>
        </w:rPr>
        <w:t xml:space="preserve"> </w:t>
      </w:r>
      <w:r>
        <w:t>Liability</w:t>
      </w:r>
      <w:r>
        <w:tab/>
        <w:t>$2,500</w:t>
      </w:r>
    </w:p>
    <w:tbl>
      <w:tblPr>
        <w:tblW w:w="0" w:type="auto"/>
        <w:tblInd w:w="417" w:type="dxa"/>
        <w:tblLayout w:type="fixed"/>
        <w:tblCellMar>
          <w:left w:w="0" w:type="dxa"/>
          <w:right w:w="0" w:type="dxa"/>
        </w:tblCellMar>
        <w:tblLook w:val="01E0" w:firstRow="1" w:lastRow="1" w:firstColumn="1" w:lastColumn="1" w:noHBand="0" w:noVBand="0"/>
      </w:tblPr>
      <w:tblGrid>
        <w:gridCol w:w="348"/>
        <w:gridCol w:w="4848"/>
        <w:gridCol w:w="2538"/>
      </w:tblGrid>
      <w:tr w:rsidR="006C51C3" w14:paraId="458D7ACB" w14:textId="77777777">
        <w:trPr>
          <w:trHeight w:val="255"/>
        </w:trPr>
        <w:tc>
          <w:tcPr>
            <w:tcW w:w="348" w:type="dxa"/>
          </w:tcPr>
          <w:p w14:paraId="212944E6" w14:textId="77777777" w:rsidR="006C51C3" w:rsidRDefault="00C4329B">
            <w:pPr>
              <w:pStyle w:val="TableParagraph"/>
              <w:ind w:right="42"/>
            </w:pPr>
            <w:r>
              <w:t>2</w:t>
            </w:r>
            <w:r>
              <w:t>.)</w:t>
            </w:r>
          </w:p>
        </w:tc>
        <w:tc>
          <w:tcPr>
            <w:tcW w:w="4848" w:type="dxa"/>
          </w:tcPr>
          <w:p w14:paraId="4744FA01" w14:textId="77777777" w:rsidR="006C51C3" w:rsidRDefault="00C4329B">
            <w:pPr>
              <w:pStyle w:val="TableParagraph"/>
              <w:ind w:left="61"/>
              <w:jc w:val="left"/>
            </w:pPr>
            <w:r>
              <w:t>Data Recovery and Loss of Business Income</w:t>
            </w:r>
          </w:p>
        </w:tc>
        <w:tc>
          <w:tcPr>
            <w:tcW w:w="2538" w:type="dxa"/>
          </w:tcPr>
          <w:p w14:paraId="3C37D905" w14:textId="77777777" w:rsidR="006C51C3" w:rsidRDefault="00C4329B">
            <w:pPr>
              <w:pStyle w:val="TableParagraph"/>
              <w:ind w:left="885" w:right="32"/>
            </w:pPr>
            <w:r>
              <w:t>$2,500 / 12 hours</w:t>
            </w:r>
          </w:p>
        </w:tc>
      </w:tr>
      <w:tr w:rsidR="006C51C3" w14:paraId="6B1987C7" w14:textId="77777777">
        <w:trPr>
          <w:trHeight w:val="290"/>
        </w:trPr>
        <w:tc>
          <w:tcPr>
            <w:tcW w:w="348" w:type="dxa"/>
          </w:tcPr>
          <w:p w14:paraId="5FAC9FC0" w14:textId="77777777" w:rsidR="006C51C3" w:rsidRDefault="00C4329B">
            <w:pPr>
              <w:pStyle w:val="TableParagraph"/>
              <w:spacing w:line="260" w:lineRule="exact"/>
              <w:ind w:right="42"/>
            </w:pPr>
            <w:r>
              <w:t>3.)</w:t>
            </w:r>
          </w:p>
        </w:tc>
        <w:tc>
          <w:tcPr>
            <w:tcW w:w="4848" w:type="dxa"/>
          </w:tcPr>
          <w:p w14:paraId="7C797910" w14:textId="77777777" w:rsidR="006C51C3" w:rsidRDefault="00C4329B">
            <w:pPr>
              <w:pStyle w:val="TableParagraph"/>
              <w:spacing w:line="260" w:lineRule="exact"/>
              <w:ind w:left="61"/>
              <w:jc w:val="left"/>
            </w:pPr>
            <w:r>
              <w:t>Event Management Expenses</w:t>
            </w:r>
          </w:p>
        </w:tc>
        <w:tc>
          <w:tcPr>
            <w:tcW w:w="2538" w:type="dxa"/>
          </w:tcPr>
          <w:p w14:paraId="5B2665BA" w14:textId="77777777" w:rsidR="006C51C3" w:rsidRDefault="00C4329B">
            <w:pPr>
              <w:pStyle w:val="TableParagraph"/>
              <w:spacing w:line="260" w:lineRule="exact"/>
              <w:ind w:left="885" w:right="30"/>
            </w:pPr>
            <w:r>
              <w:t>$2,500</w:t>
            </w:r>
          </w:p>
        </w:tc>
      </w:tr>
      <w:tr w:rsidR="006C51C3" w14:paraId="265B0A00" w14:textId="77777777">
        <w:trPr>
          <w:trHeight w:val="289"/>
        </w:trPr>
        <w:tc>
          <w:tcPr>
            <w:tcW w:w="348" w:type="dxa"/>
          </w:tcPr>
          <w:p w14:paraId="4D7ADD1F" w14:textId="77777777" w:rsidR="006C51C3" w:rsidRDefault="00C4329B">
            <w:pPr>
              <w:pStyle w:val="TableParagraph"/>
              <w:spacing w:line="259" w:lineRule="exact"/>
              <w:ind w:right="42"/>
            </w:pPr>
            <w:r>
              <w:t>4.)</w:t>
            </w:r>
          </w:p>
        </w:tc>
        <w:tc>
          <w:tcPr>
            <w:tcW w:w="4848" w:type="dxa"/>
          </w:tcPr>
          <w:p w14:paraId="7D81C39A" w14:textId="77777777" w:rsidR="006C51C3" w:rsidRDefault="00C4329B">
            <w:pPr>
              <w:pStyle w:val="TableParagraph"/>
              <w:spacing w:line="259" w:lineRule="exact"/>
              <w:ind w:left="61"/>
              <w:jc w:val="left"/>
            </w:pPr>
            <w:r>
              <w:t>Data Extortion</w:t>
            </w:r>
          </w:p>
        </w:tc>
        <w:tc>
          <w:tcPr>
            <w:tcW w:w="2538" w:type="dxa"/>
          </w:tcPr>
          <w:p w14:paraId="7639E6E0" w14:textId="77777777" w:rsidR="006C51C3" w:rsidRDefault="00C4329B">
            <w:pPr>
              <w:pStyle w:val="TableParagraph"/>
              <w:spacing w:line="259" w:lineRule="exact"/>
              <w:ind w:left="885" w:right="30"/>
            </w:pPr>
            <w:r>
              <w:t>$2,500</w:t>
            </w:r>
          </w:p>
        </w:tc>
      </w:tr>
      <w:tr w:rsidR="006C51C3" w14:paraId="4547A875" w14:textId="77777777">
        <w:trPr>
          <w:trHeight w:val="254"/>
        </w:trPr>
        <w:tc>
          <w:tcPr>
            <w:tcW w:w="348" w:type="dxa"/>
          </w:tcPr>
          <w:p w14:paraId="0D9B67C3" w14:textId="77777777" w:rsidR="006C51C3" w:rsidRDefault="00C4329B">
            <w:pPr>
              <w:pStyle w:val="TableParagraph"/>
              <w:spacing w:line="234" w:lineRule="exact"/>
              <w:ind w:right="42"/>
            </w:pPr>
            <w:r>
              <w:t>5.)</w:t>
            </w:r>
          </w:p>
        </w:tc>
        <w:tc>
          <w:tcPr>
            <w:tcW w:w="4848" w:type="dxa"/>
          </w:tcPr>
          <w:p w14:paraId="1DE85B70" w14:textId="77777777" w:rsidR="006C51C3" w:rsidRDefault="00C4329B">
            <w:pPr>
              <w:pStyle w:val="TableParagraph"/>
              <w:spacing w:line="234" w:lineRule="exact"/>
              <w:ind w:left="61"/>
              <w:jc w:val="left"/>
            </w:pPr>
            <w:r>
              <w:t>Bricking</w:t>
            </w:r>
          </w:p>
        </w:tc>
        <w:tc>
          <w:tcPr>
            <w:tcW w:w="2538" w:type="dxa"/>
          </w:tcPr>
          <w:p w14:paraId="7608A8FB" w14:textId="77777777" w:rsidR="006C51C3" w:rsidRDefault="00C4329B">
            <w:pPr>
              <w:pStyle w:val="TableParagraph"/>
              <w:spacing w:line="234" w:lineRule="exact"/>
              <w:ind w:left="885" w:right="30"/>
            </w:pPr>
            <w:r>
              <w:t>$2,500</w:t>
            </w:r>
          </w:p>
        </w:tc>
      </w:tr>
    </w:tbl>
    <w:p w14:paraId="69167355" w14:textId="77777777" w:rsidR="006C51C3" w:rsidRDefault="006C51C3">
      <w:pPr>
        <w:pStyle w:val="BodyText"/>
        <w:spacing w:before="11"/>
        <w:rPr>
          <w:sz w:val="10"/>
        </w:rPr>
      </w:pPr>
    </w:p>
    <w:p w14:paraId="1D537420" w14:textId="77777777" w:rsidR="006C51C3" w:rsidRDefault="00C4329B">
      <w:pPr>
        <w:pStyle w:val="BodyText"/>
        <w:spacing w:before="56" w:line="256" w:lineRule="auto"/>
        <w:ind w:left="460" w:right="186"/>
      </w:pPr>
      <w:r>
        <w:t>Only the highest applicable deductible will apply. i.e. the deductible will be $2,500 regardless of which or how many insuring agreements are triggered.</w:t>
      </w:r>
    </w:p>
    <w:p w14:paraId="259AA6D9" w14:textId="77777777" w:rsidR="006C51C3" w:rsidRDefault="00C4329B">
      <w:pPr>
        <w:pStyle w:val="Heading1"/>
        <w:spacing w:before="165"/>
        <w:jc w:val="both"/>
      </w:pPr>
      <w:r>
        <w:t>Who is covered:</w:t>
      </w:r>
    </w:p>
    <w:p w14:paraId="38FFA7A7" w14:textId="77777777" w:rsidR="006C51C3" w:rsidRDefault="00C4329B">
      <w:pPr>
        <w:pStyle w:val="BodyText"/>
        <w:spacing w:before="180" w:line="259" w:lineRule="auto"/>
        <w:ind w:left="100" w:right="213"/>
        <w:jc w:val="both"/>
      </w:pPr>
      <w:r>
        <w:t>The Law Society and the Law Society Members who were required to be insured by mandatory lawyers professional liability insurance at the time of Discovery and includes a Law Firm through which said Law Society Member was practicing law at the time of disco</w:t>
      </w:r>
      <w:r>
        <w:t>very.</w:t>
      </w:r>
    </w:p>
    <w:p w14:paraId="07D9C711" w14:textId="77777777" w:rsidR="00D529A2" w:rsidRDefault="00D529A2">
      <w:pPr>
        <w:pStyle w:val="Heading1"/>
        <w:spacing w:before="160"/>
        <w:jc w:val="both"/>
        <w:rPr>
          <w:u w:val="single"/>
        </w:rPr>
      </w:pPr>
    </w:p>
    <w:p w14:paraId="1BA794BA" w14:textId="77777777" w:rsidR="00D529A2" w:rsidRDefault="00D529A2">
      <w:pPr>
        <w:pStyle w:val="Heading1"/>
        <w:spacing w:before="160"/>
        <w:jc w:val="both"/>
        <w:rPr>
          <w:u w:val="single"/>
        </w:rPr>
      </w:pPr>
    </w:p>
    <w:p w14:paraId="58E57F7F" w14:textId="77777777" w:rsidR="00D529A2" w:rsidRDefault="00D529A2">
      <w:pPr>
        <w:pStyle w:val="Heading1"/>
        <w:spacing w:before="160"/>
        <w:jc w:val="both"/>
        <w:rPr>
          <w:u w:val="single"/>
        </w:rPr>
      </w:pPr>
    </w:p>
    <w:p w14:paraId="2F31A4B3" w14:textId="77777777" w:rsidR="00D529A2" w:rsidRDefault="00D529A2">
      <w:pPr>
        <w:pStyle w:val="Heading1"/>
        <w:spacing w:before="160"/>
        <w:jc w:val="both"/>
        <w:rPr>
          <w:u w:val="single"/>
        </w:rPr>
      </w:pPr>
    </w:p>
    <w:p w14:paraId="42CF7CD2" w14:textId="775912C2" w:rsidR="006C51C3" w:rsidRDefault="00C4329B">
      <w:pPr>
        <w:pStyle w:val="Heading1"/>
        <w:spacing w:before="160"/>
        <w:jc w:val="both"/>
      </w:pPr>
      <w:r>
        <w:rPr>
          <w:u w:val="single"/>
        </w:rPr>
        <w:t>IMPORTANT</w:t>
      </w:r>
      <w:r>
        <w:t>: IT requirements for coverage to respond:</w:t>
      </w:r>
    </w:p>
    <w:p w14:paraId="2CF4653F" w14:textId="77777777" w:rsidR="006C51C3" w:rsidRDefault="006C51C3">
      <w:pPr>
        <w:pStyle w:val="BodyText"/>
        <w:spacing w:before="4"/>
        <w:rPr>
          <w:b/>
          <w:sz w:val="10"/>
        </w:rPr>
      </w:pPr>
    </w:p>
    <w:p w14:paraId="36DCFD60" w14:textId="77777777" w:rsidR="006C51C3" w:rsidRDefault="00C4329B">
      <w:pPr>
        <w:pStyle w:val="BodyText"/>
        <w:spacing w:before="57" w:line="256" w:lineRule="auto"/>
        <w:ind w:left="100" w:right="142"/>
      </w:pPr>
      <w:r>
        <w:t>Good data, computer and network hygiene is critical for any business, the following minimum standards are necessary for coverage respond:</w:t>
      </w:r>
    </w:p>
    <w:p w14:paraId="56F11D65" w14:textId="77777777" w:rsidR="006C51C3" w:rsidRDefault="00C4329B">
      <w:pPr>
        <w:pStyle w:val="ListParagraph"/>
        <w:numPr>
          <w:ilvl w:val="0"/>
          <w:numId w:val="1"/>
        </w:numPr>
        <w:tabs>
          <w:tab w:val="left" w:pos="821"/>
        </w:tabs>
        <w:spacing w:before="164"/>
        <w:ind w:hanging="361"/>
      </w:pPr>
      <w:r>
        <w:t>Weekly backups of data, stored offsite, and tested at least</w:t>
      </w:r>
      <w:r>
        <w:rPr>
          <w:spacing w:val="-10"/>
        </w:rPr>
        <w:t xml:space="preserve"> </w:t>
      </w:r>
      <w:r>
        <w:t>annually.</w:t>
      </w:r>
    </w:p>
    <w:p w14:paraId="7B019D81" w14:textId="77777777" w:rsidR="006C51C3" w:rsidRDefault="00C4329B">
      <w:pPr>
        <w:pStyle w:val="ListParagraph"/>
        <w:numPr>
          <w:ilvl w:val="0"/>
          <w:numId w:val="1"/>
        </w:numPr>
        <w:tabs>
          <w:tab w:val="left" w:pos="821"/>
        </w:tabs>
        <w:spacing w:before="22" w:line="256" w:lineRule="auto"/>
        <w:ind w:right="334"/>
      </w:pPr>
      <w:r>
        <w:t>Installation of critical patches, anti-virus sof</w:t>
      </w:r>
      <w:r>
        <w:t>tware, and anti-spyware must be made within two weeks of</w:t>
      </w:r>
      <w:r>
        <w:rPr>
          <w:spacing w:val="-2"/>
        </w:rPr>
        <w:t xml:space="preserve"> </w:t>
      </w:r>
      <w:r>
        <w:t>release.</w:t>
      </w:r>
    </w:p>
    <w:p w14:paraId="08045AB3" w14:textId="77777777" w:rsidR="006C51C3" w:rsidRDefault="00C4329B">
      <w:pPr>
        <w:pStyle w:val="ListParagraph"/>
        <w:numPr>
          <w:ilvl w:val="0"/>
          <w:numId w:val="1"/>
        </w:numPr>
        <w:tabs>
          <w:tab w:val="left" w:pos="821"/>
        </w:tabs>
        <w:spacing w:line="259" w:lineRule="auto"/>
        <w:ind w:right="458"/>
      </w:pPr>
      <w:r>
        <w:t>Installation and maintenance, and active monitoring within reasonable business practices, of firewalls and endpoint</w:t>
      </w:r>
      <w:r>
        <w:rPr>
          <w:spacing w:val="-4"/>
        </w:rPr>
        <w:t xml:space="preserve"> </w:t>
      </w:r>
      <w:r>
        <w:t>protection.</w:t>
      </w:r>
    </w:p>
    <w:p w14:paraId="2A1829D2" w14:textId="77777777" w:rsidR="006C51C3" w:rsidRDefault="00C4329B">
      <w:pPr>
        <w:pStyle w:val="Heading1"/>
        <w:spacing w:before="159"/>
      </w:pPr>
      <w:r>
        <w:t>How to Report a Claim or Potential Cyber Incident:</w:t>
      </w:r>
    </w:p>
    <w:p w14:paraId="7C0917E1" w14:textId="77777777" w:rsidR="006C51C3" w:rsidRDefault="00C4329B">
      <w:pPr>
        <w:pStyle w:val="BodyText"/>
        <w:spacing w:before="183"/>
        <w:ind w:left="100"/>
      </w:pPr>
      <w:r>
        <w:t>If you need</w:t>
      </w:r>
      <w:r>
        <w:t xml:space="preserve"> urgent crisis management or legal advice, please </w:t>
      </w:r>
      <w:proofErr w:type="gramStart"/>
      <w:r>
        <w:t>call</w:t>
      </w:r>
      <w:proofErr w:type="gramEnd"/>
      <w:r>
        <w:t xml:space="preserve"> or email the policy’s Cyber Incident</w:t>
      </w:r>
    </w:p>
    <w:p w14:paraId="03E61498" w14:textId="77777777" w:rsidR="006C51C3" w:rsidRDefault="00C4329B">
      <w:pPr>
        <w:pStyle w:val="BodyText"/>
        <w:spacing w:before="19"/>
        <w:ind w:left="100"/>
      </w:pPr>
      <w:r>
        <w:t>Breach Coach:</w:t>
      </w:r>
    </w:p>
    <w:p w14:paraId="2CB0B674" w14:textId="77777777" w:rsidR="006C51C3" w:rsidRDefault="00C4329B">
      <w:pPr>
        <w:pStyle w:val="BodyText"/>
        <w:spacing w:before="183"/>
        <w:ind w:left="100"/>
      </w:pPr>
      <w:r>
        <w:t>Blake, Cassels &amp; Graydon LLP (“Blakes”)</w:t>
      </w:r>
    </w:p>
    <w:p w14:paraId="12545291" w14:textId="77777777" w:rsidR="006C51C3" w:rsidRDefault="00C4329B">
      <w:pPr>
        <w:pStyle w:val="BodyText"/>
        <w:spacing w:before="180"/>
        <w:ind w:left="100"/>
      </w:pPr>
      <w:r>
        <w:t>24/7 Hotline: 1-833-383-1488</w:t>
      </w:r>
    </w:p>
    <w:p w14:paraId="47F030A9" w14:textId="77777777" w:rsidR="006C51C3" w:rsidRDefault="00C4329B">
      <w:pPr>
        <w:pStyle w:val="BodyText"/>
        <w:spacing w:before="183"/>
        <w:ind w:left="100"/>
      </w:pPr>
      <w:r>
        <w:t xml:space="preserve">Email: </w:t>
      </w:r>
      <w:hyperlink r:id="rId6">
        <w:r>
          <w:t xml:space="preserve">cyberclaims@clia.ca, </w:t>
        </w:r>
      </w:hyperlink>
      <w:r>
        <w:t>ATTN: I</w:t>
      </w:r>
      <w:r>
        <w:t>mran Ahmad – Ridge Canada</w:t>
      </w:r>
    </w:p>
    <w:p w14:paraId="64878EC5" w14:textId="77777777" w:rsidR="006C51C3" w:rsidRDefault="00C4329B">
      <w:pPr>
        <w:pStyle w:val="BodyText"/>
        <w:spacing w:before="180"/>
        <w:ind w:left="100"/>
      </w:pPr>
      <w:r>
        <w:t>Note: An email will be required for formal notice of claim or circumstance to the insurer.</w:t>
      </w:r>
    </w:p>
    <w:p w14:paraId="3F7D116E" w14:textId="727189FF" w:rsidR="006C51C3" w:rsidRDefault="006C51C3">
      <w:pPr>
        <w:pStyle w:val="BodyText"/>
        <w:spacing w:before="9"/>
        <w:rPr>
          <w:sz w:val="11"/>
        </w:rPr>
      </w:pPr>
    </w:p>
    <w:p w14:paraId="6259454B" w14:textId="032FEA92" w:rsidR="006C51C3" w:rsidRDefault="006C51C3">
      <w:pPr>
        <w:pStyle w:val="BodyText"/>
        <w:rPr>
          <w:sz w:val="20"/>
        </w:rPr>
      </w:pPr>
    </w:p>
    <w:p w14:paraId="6046A533" w14:textId="113C7E48" w:rsidR="00D529A2" w:rsidRDefault="00D529A2">
      <w:pPr>
        <w:pStyle w:val="BodyText"/>
        <w:rPr>
          <w:sz w:val="20"/>
        </w:rPr>
      </w:pPr>
    </w:p>
    <w:p w14:paraId="58C55816" w14:textId="25D12C38" w:rsidR="00D529A2" w:rsidRDefault="00D529A2">
      <w:pPr>
        <w:pStyle w:val="BodyText"/>
        <w:rPr>
          <w:sz w:val="20"/>
        </w:rPr>
      </w:pPr>
    </w:p>
    <w:p w14:paraId="649A2D38" w14:textId="09C5A520" w:rsidR="00D529A2" w:rsidRDefault="00D529A2">
      <w:pPr>
        <w:pStyle w:val="BodyText"/>
        <w:rPr>
          <w:sz w:val="20"/>
        </w:rPr>
      </w:pPr>
    </w:p>
    <w:p w14:paraId="7E5C5FB0" w14:textId="38CFE371" w:rsidR="00D529A2" w:rsidRDefault="00D529A2">
      <w:pPr>
        <w:pStyle w:val="BodyText"/>
        <w:rPr>
          <w:sz w:val="20"/>
        </w:rPr>
      </w:pPr>
    </w:p>
    <w:p w14:paraId="1A552D4F" w14:textId="50B7FF92" w:rsidR="00D529A2" w:rsidRDefault="00D529A2">
      <w:pPr>
        <w:pStyle w:val="BodyText"/>
        <w:rPr>
          <w:sz w:val="20"/>
        </w:rPr>
      </w:pPr>
    </w:p>
    <w:p w14:paraId="3DD47601" w14:textId="206BED2D" w:rsidR="00D529A2" w:rsidRDefault="00D529A2">
      <w:pPr>
        <w:pStyle w:val="BodyText"/>
        <w:rPr>
          <w:sz w:val="20"/>
        </w:rPr>
      </w:pPr>
    </w:p>
    <w:p w14:paraId="67768EB8" w14:textId="4A4E0B99" w:rsidR="00D529A2" w:rsidRDefault="00D529A2">
      <w:pPr>
        <w:pStyle w:val="BodyText"/>
        <w:rPr>
          <w:sz w:val="20"/>
        </w:rPr>
      </w:pPr>
    </w:p>
    <w:p w14:paraId="2F1FD5DC" w14:textId="735C1443" w:rsidR="00D529A2" w:rsidRDefault="00D529A2">
      <w:pPr>
        <w:pStyle w:val="BodyText"/>
        <w:rPr>
          <w:sz w:val="20"/>
        </w:rPr>
      </w:pPr>
    </w:p>
    <w:p w14:paraId="2E824926" w14:textId="573D058E" w:rsidR="00D529A2" w:rsidRDefault="00D529A2">
      <w:pPr>
        <w:pStyle w:val="BodyText"/>
        <w:rPr>
          <w:sz w:val="20"/>
        </w:rPr>
      </w:pPr>
    </w:p>
    <w:p w14:paraId="5B0AEEC1" w14:textId="4D76379B" w:rsidR="00D529A2" w:rsidRDefault="00D529A2">
      <w:pPr>
        <w:pStyle w:val="BodyText"/>
        <w:rPr>
          <w:sz w:val="20"/>
        </w:rPr>
      </w:pPr>
    </w:p>
    <w:p w14:paraId="4B4018D0" w14:textId="7504C5CA" w:rsidR="00D529A2" w:rsidRDefault="00D529A2">
      <w:pPr>
        <w:pStyle w:val="BodyText"/>
        <w:rPr>
          <w:sz w:val="20"/>
        </w:rPr>
      </w:pPr>
    </w:p>
    <w:p w14:paraId="5324DB9B" w14:textId="4809A1A6" w:rsidR="00D529A2" w:rsidRDefault="00D529A2">
      <w:pPr>
        <w:pStyle w:val="BodyText"/>
        <w:rPr>
          <w:sz w:val="20"/>
        </w:rPr>
      </w:pPr>
    </w:p>
    <w:p w14:paraId="348B3D10" w14:textId="77777777" w:rsidR="00D529A2" w:rsidRDefault="00D529A2">
      <w:pPr>
        <w:pStyle w:val="BodyText"/>
        <w:rPr>
          <w:sz w:val="20"/>
        </w:rPr>
      </w:pPr>
    </w:p>
    <w:p w14:paraId="4F519054" w14:textId="071ABA4A" w:rsidR="00D529A2" w:rsidRDefault="00D529A2">
      <w:pPr>
        <w:pStyle w:val="BodyText"/>
        <w:rPr>
          <w:sz w:val="20"/>
        </w:rPr>
      </w:pPr>
    </w:p>
    <w:p w14:paraId="27695F35" w14:textId="1E882332" w:rsidR="00D529A2" w:rsidRDefault="00D529A2">
      <w:pPr>
        <w:pStyle w:val="BodyText"/>
        <w:rPr>
          <w:sz w:val="20"/>
        </w:rPr>
      </w:pPr>
    </w:p>
    <w:p w14:paraId="67BB0988" w14:textId="0D69947B" w:rsidR="00D529A2" w:rsidRDefault="00D529A2">
      <w:pPr>
        <w:pStyle w:val="BodyText"/>
        <w:rPr>
          <w:sz w:val="20"/>
        </w:rPr>
      </w:pPr>
    </w:p>
    <w:p w14:paraId="2671DFA4" w14:textId="799D6FD1" w:rsidR="00D529A2" w:rsidRDefault="00D529A2">
      <w:pPr>
        <w:pStyle w:val="BodyText"/>
        <w:rPr>
          <w:sz w:val="20"/>
        </w:rPr>
      </w:pPr>
    </w:p>
    <w:p w14:paraId="27D78B94" w14:textId="131280EA" w:rsidR="00D529A2" w:rsidRDefault="00D529A2">
      <w:pPr>
        <w:pStyle w:val="BodyText"/>
        <w:rPr>
          <w:sz w:val="20"/>
        </w:rPr>
      </w:pPr>
    </w:p>
    <w:p w14:paraId="47E843CF" w14:textId="347E3BE2" w:rsidR="00D529A2" w:rsidRDefault="00D529A2">
      <w:pPr>
        <w:pStyle w:val="BodyText"/>
        <w:rPr>
          <w:sz w:val="20"/>
        </w:rPr>
      </w:pPr>
    </w:p>
    <w:p w14:paraId="69CC2537" w14:textId="57BCA032" w:rsidR="00D529A2" w:rsidRDefault="00D529A2">
      <w:pPr>
        <w:pStyle w:val="BodyText"/>
        <w:rPr>
          <w:sz w:val="20"/>
        </w:rPr>
      </w:pPr>
    </w:p>
    <w:p w14:paraId="7A5A899C" w14:textId="7E5E11A4" w:rsidR="00D529A2" w:rsidRDefault="00D529A2">
      <w:pPr>
        <w:pStyle w:val="BodyText"/>
        <w:rPr>
          <w:sz w:val="20"/>
        </w:rPr>
      </w:pPr>
    </w:p>
    <w:p w14:paraId="79D7B709" w14:textId="6395DB37" w:rsidR="00D529A2" w:rsidRDefault="00D529A2">
      <w:pPr>
        <w:pStyle w:val="BodyText"/>
        <w:rPr>
          <w:sz w:val="20"/>
        </w:rPr>
      </w:pPr>
    </w:p>
    <w:p w14:paraId="0707AC11" w14:textId="4C60CEE8" w:rsidR="00D529A2" w:rsidRDefault="00D529A2">
      <w:pPr>
        <w:pStyle w:val="BodyText"/>
        <w:rPr>
          <w:sz w:val="20"/>
        </w:rPr>
      </w:pPr>
    </w:p>
    <w:p w14:paraId="38EE861B" w14:textId="319B7BE6" w:rsidR="00D529A2" w:rsidRDefault="00D529A2">
      <w:pPr>
        <w:pStyle w:val="BodyText"/>
        <w:rPr>
          <w:sz w:val="20"/>
        </w:rPr>
      </w:pPr>
    </w:p>
    <w:p w14:paraId="34ECE1F9" w14:textId="77777777" w:rsidR="00D529A2" w:rsidRDefault="00D529A2">
      <w:pPr>
        <w:pStyle w:val="BodyText"/>
        <w:rPr>
          <w:sz w:val="20"/>
        </w:rPr>
      </w:pPr>
    </w:p>
    <w:p w14:paraId="23D5B4F5" w14:textId="588BD11A" w:rsidR="00D529A2" w:rsidRDefault="00D529A2">
      <w:pPr>
        <w:pStyle w:val="BodyText"/>
        <w:rPr>
          <w:sz w:val="20"/>
        </w:rPr>
      </w:pPr>
    </w:p>
    <w:p w14:paraId="06E1B1D5" w14:textId="1B6FF4A0" w:rsidR="00D529A2" w:rsidRDefault="00D529A2">
      <w:pPr>
        <w:pStyle w:val="BodyText"/>
        <w:rPr>
          <w:sz w:val="20"/>
        </w:rPr>
      </w:pPr>
    </w:p>
    <w:p w14:paraId="3108531A" w14:textId="77777777" w:rsidR="00D529A2" w:rsidRDefault="00D529A2">
      <w:pPr>
        <w:pStyle w:val="BodyText"/>
        <w:rPr>
          <w:sz w:val="20"/>
        </w:rPr>
      </w:pPr>
    </w:p>
    <w:p w14:paraId="15C4392C" w14:textId="77777777" w:rsidR="006C51C3" w:rsidRDefault="006C51C3">
      <w:pPr>
        <w:pStyle w:val="BodyText"/>
        <w:spacing w:before="11"/>
        <w:rPr>
          <w:sz w:val="17"/>
        </w:rPr>
      </w:pPr>
    </w:p>
    <w:p w14:paraId="23D2082E" w14:textId="77777777" w:rsidR="006C51C3" w:rsidRDefault="00C4329B">
      <w:pPr>
        <w:spacing w:before="1"/>
        <w:ind w:left="3053" w:right="1403" w:hanging="1650"/>
        <w:rPr>
          <w:sz w:val="18"/>
        </w:rPr>
      </w:pPr>
      <w:r>
        <w:rPr>
          <w:sz w:val="18"/>
        </w:rPr>
        <w:t xml:space="preserve">Canadian Lawyers Insurance Association | </w:t>
      </w:r>
      <w:proofErr w:type="spellStart"/>
      <w:r>
        <w:rPr>
          <w:sz w:val="18"/>
        </w:rPr>
        <w:t>L’Association</w:t>
      </w:r>
      <w:proofErr w:type="spellEnd"/>
      <w:r>
        <w:rPr>
          <w:sz w:val="18"/>
        </w:rPr>
        <w:t xml:space="preserve"> </w:t>
      </w:r>
      <w:proofErr w:type="spellStart"/>
      <w:r>
        <w:rPr>
          <w:sz w:val="18"/>
        </w:rPr>
        <w:t>d’Assurance</w:t>
      </w:r>
      <w:proofErr w:type="spellEnd"/>
      <w:r>
        <w:rPr>
          <w:sz w:val="18"/>
        </w:rPr>
        <w:t xml:space="preserve"> des </w:t>
      </w:r>
      <w:proofErr w:type="spellStart"/>
      <w:r>
        <w:rPr>
          <w:sz w:val="18"/>
        </w:rPr>
        <w:t>Juristes</w:t>
      </w:r>
      <w:proofErr w:type="spellEnd"/>
      <w:r>
        <w:rPr>
          <w:sz w:val="18"/>
        </w:rPr>
        <w:t xml:space="preserve"> Canadiens 1530-2002 Victoria Avenue, Regina, SK S4P 0R7</w:t>
      </w:r>
    </w:p>
    <w:sectPr w:rsidR="006C51C3">
      <w:pgSz w:w="12240" w:h="15840"/>
      <w:pgMar w:top="14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52456"/>
    <w:multiLevelType w:val="hybridMultilevel"/>
    <w:tmpl w:val="52644820"/>
    <w:lvl w:ilvl="0" w:tplc="4860DE1A">
      <w:start w:val="1"/>
      <w:numFmt w:val="decimal"/>
      <w:lvlText w:val="%1."/>
      <w:lvlJc w:val="left"/>
      <w:pPr>
        <w:ind w:left="820" w:hanging="360"/>
        <w:jc w:val="left"/>
      </w:pPr>
      <w:rPr>
        <w:rFonts w:ascii="Calibri" w:eastAsia="Calibri" w:hAnsi="Calibri" w:cs="Calibri" w:hint="default"/>
        <w:w w:val="100"/>
        <w:sz w:val="22"/>
        <w:szCs w:val="22"/>
        <w:lang w:val="en-CA" w:eastAsia="en-US" w:bidi="ar-SA"/>
      </w:rPr>
    </w:lvl>
    <w:lvl w:ilvl="1" w:tplc="3E70B804">
      <w:numFmt w:val="bullet"/>
      <w:lvlText w:val="•"/>
      <w:lvlJc w:val="left"/>
      <w:pPr>
        <w:ind w:left="1694" w:hanging="360"/>
      </w:pPr>
      <w:rPr>
        <w:rFonts w:hint="default"/>
        <w:lang w:val="en-CA" w:eastAsia="en-US" w:bidi="ar-SA"/>
      </w:rPr>
    </w:lvl>
    <w:lvl w:ilvl="2" w:tplc="0396D642">
      <w:numFmt w:val="bullet"/>
      <w:lvlText w:val="•"/>
      <w:lvlJc w:val="left"/>
      <w:pPr>
        <w:ind w:left="2568" w:hanging="360"/>
      </w:pPr>
      <w:rPr>
        <w:rFonts w:hint="default"/>
        <w:lang w:val="en-CA" w:eastAsia="en-US" w:bidi="ar-SA"/>
      </w:rPr>
    </w:lvl>
    <w:lvl w:ilvl="3" w:tplc="593243F4">
      <w:numFmt w:val="bullet"/>
      <w:lvlText w:val="•"/>
      <w:lvlJc w:val="left"/>
      <w:pPr>
        <w:ind w:left="3442" w:hanging="360"/>
      </w:pPr>
      <w:rPr>
        <w:rFonts w:hint="default"/>
        <w:lang w:val="en-CA" w:eastAsia="en-US" w:bidi="ar-SA"/>
      </w:rPr>
    </w:lvl>
    <w:lvl w:ilvl="4" w:tplc="7C58B00C">
      <w:numFmt w:val="bullet"/>
      <w:lvlText w:val="•"/>
      <w:lvlJc w:val="left"/>
      <w:pPr>
        <w:ind w:left="4316" w:hanging="360"/>
      </w:pPr>
      <w:rPr>
        <w:rFonts w:hint="default"/>
        <w:lang w:val="en-CA" w:eastAsia="en-US" w:bidi="ar-SA"/>
      </w:rPr>
    </w:lvl>
    <w:lvl w:ilvl="5" w:tplc="2D405D8C">
      <w:numFmt w:val="bullet"/>
      <w:lvlText w:val="•"/>
      <w:lvlJc w:val="left"/>
      <w:pPr>
        <w:ind w:left="5190" w:hanging="360"/>
      </w:pPr>
      <w:rPr>
        <w:rFonts w:hint="default"/>
        <w:lang w:val="en-CA" w:eastAsia="en-US" w:bidi="ar-SA"/>
      </w:rPr>
    </w:lvl>
    <w:lvl w:ilvl="6" w:tplc="2A66039E">
      <w:numFmt w:val="bullet"/>
      <w:lvlText w:val="•"/>
      <w:lvlJc w:val="left"/>
      <w:pPr>
        <w:ind w:left="6064" w:hanging="360"/>
      </w:pPr>
      <w:rPr>
        <w:rFonts w:hint="default"/>
        <w:lang w:val="en-CA" w:eastAsia="en-US" w:bidi="ar-SA"/>
      </w:rPr>
    </w:lvl>
    <w:lvl w:ilvl="7" w:tplc="0002B846">
      <w:numFmt w:val="bullet"/>
      <w:lvlText w:val="•"/>
      <w:lvlJc w:val="left"/>
      <w:pPr>
        <w:ind w:left="6938" w:hanging="360"/>
      </w:pPr>
      <w:rPr>
        <w:rFonts w:hint="default"/>
        <w:lang w:val="en-CA" w:eastAsia="en-US" w:bidi="ar-SA"/>
      </w:rPr>
    </w:lvl>
    <w:lvl w:ilvl="8" w:tplc="FB70AC76">
      <w:numFmt w:val="bullet"/>
      <w:lvlText w:val="•"/>
      <w:lvlJc w:val="left"/>
      <w:pPr>
        <w:ind w:left="7812" w:hanging="360"/>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51C3"/>
    <w:rsid w:val="006C51C3"/>
    <w:rsid w:val="00C4329B"/>
    <w:rsid w:val="00D52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5C43AE"/>
  <w15:docId w15:val="{52738873-A44F-4E7C-83A3-AC441B64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ind w:left="820" w:hanging="360"/>
    </w:pPr>
  </w:style>
  <w:style w:type="paragraph" w:customStyle="1" w:styleId="TableParagraph">
    <w:name w:val="Table Paragraph"/>
    <w:basedOn w:val="Normal"/>
    <w:uiPriority w:val="1"/>
    <w:qFormat/>
    <w:pPr>
      <w:spacing w:line="225" w:lineRule="exact"/>
      <w:ind w:left="3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berclaims@cli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Gyorgy</dc:creator>
  <cp:lastModifiedBy/>
  <cp:revision>1</cp:revision>
  <dcterms:created xsi:type="dcterms:W3CDTF">2020-09-22T21:09:00Z</dcterms:created>
  <dcterms:modified xsi:type="dcterms:W3CDTF">2020-09-22T21:09:00Z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for Microsoft 365</vt:lpwstr>
  </property>
  <property fmtid="{D5CDD505-2E9C-101B-9397-08002B2CF9AE}" pid="4" name="LastSaved">
    <vt:filetime>2020-09-22T00:00:00Z</vt:filetime>
  </property>
</Properties>
</file>